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A6F0">
      <w:pPr>
        <w:jc w:val="center"/>
        <w:outlineLvl w:val="0"/>
        <w:rPr>
          <w:rFonts w:hint="eastAsia" w:ascii="宋体" w:hAnsi="宋体" w:eastAsia="宋体"/>
          <w:b/>
          <w:bCs/>
          <w:sz w:val="28"/>
          <w:szCs w:val="28"/>
        </w:rPr>
      </w:pPr>
      <w:bookmarkStart w:id="2" w:name="_GoBack"/>
      <w:bookmarkStart w:id="0" w:name="_Hlk182166386"/>
      <w:bookmarkEnd w:id="0"/>
      <w:bookmarkStart w:id="1" w:name="_Hlk182166151"/>
      <w:r>
        <w:rPr>
          <w:rFonts w:hint="eastAsia" w:ascii="宋体" w:hAnsi="宋体" w:eastAsia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药物分析与检验</w:t>
      </w:r>
      <w:r>
        <w:rPr>
          <w:rFonts w:hint="eastAsia" w:ascii="宋体" w:hAnsi="宋体" w:eastAsia="宋体"/>
          <w:b/>
          <w:bCs/>
          <w:sz w:val="28"/>
          <w:szCs w:val="28"/>
        </w:rPr>
        <w:t>》</w:t>
      </w:r>
      <w:bookmarkEnd w:id="2"/>
      <w:bookmarkEnd w:id="1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课程知识图谱</w:t>
      </w:r>
      <w:r>
        <w:rPr>
          <w:rFonts w:hint="eastAsia" w:ascii="宋体" w:hAnsi="宋体" w:eastAsia="宋体"/>
          <w:b/>
          <w:bCs/>
          <w:sz w:val="28"/>
          <w:szCs w:val="28"/>
        </w:rPr>
        <w:t>建设项目佐证材料</w:t>
      </w:r>
    </w:p>
    <w:p w14:paraId="676D081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一、关于《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园林工程</w:t>
      </w:r>
      <w:r>
        <w:rPr>
          <w:rFonts w:hint="eastAsia" w:ascii="宋体" w:hAnsi="宋体" w:eastAsia="宋体"/>
          <w:sz w:val="24"/>
          <w:szCs w:val="24"/>
        </w:rPr>
        <w:t>》课程知识图谱建设单一来源采购的情况说明</w:t>
      </w:r>
    </w:p>
    <w:p w14:paraId="7B5F034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《药物分析与检验》课程是药学专业教学计划中的一门专业课程。该课程自2021年起在超星泛雅平台上线运行，目前已稳定运行至第5期。平台深度融入课程教学全流程，</w:t>
      </w:r>
      <w:r>
        <w:rPr>
          <w:rFonts w:hint="eastAsia" w:ascii="宋体" w:hAnsi="宋体" w:eastAsia="宋体"/>
          <w:sz w:val="24"/>
          <w:szCs w:val="24"/>
        </w:rPr>
        <w:t>超星泛雅平台完整记录了《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药物分析与检验</w:t>
      </w:r>
      <w:r>
        <w:rPr>
          <w:rFonts w:hint="eastAsia" w:ascii="宋体" w:hAnsi="宋体" w:eastAsia="宋体"/>
          <w:sz w:val="24"/>
          <w:szCs w:val="24"/>
        </w:rPr>
        <w:t>》课程的全维度教学数据，包括但不限于课程资源更新记录、学生学习行为数据、教学评价数据等。这些数据持续累计形成了连贯、完整且具有不可替代性的课程教学数据库，若更换平台，不仅需重新迁移海量课程资源，还可能导致数据格式不兼容、数据完整性受损，同时需投入大量时间精力进行技术对接适配，面临技术不成熟、功能不匹配等风险，严重影响智慧课程建设的质量与效率。根据《丽水学院采购管理办法（修订）》（丽学院办[2021]40号）文件第十四条第（六）项“因货物或者服务使用不可替代的专利、专有技术、或者公共服务项目具有特殊要求，只能从唯一供应商采购”规定，考虑到本项目实际建设情况，遂以单一来源的方式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浙江泛雅教育科技有限公司</w:t>
      </w:r>
      <w:r>
        <w:rPr>
          <w:rFonts w:hint="eastAsia" w:ascii="宋体" w:hAnsi="宋体" w:eastAsia="宋体"/>
          <w:sz w:val="24"/>
          <w:szCs w:val="24"/>
        </w:rPr>
        <w:t>采购。</w:t>
      </w:r>
    </w:p>
    <w:p w14:paraId="0217A91C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《</w:t>
      </w:r>
      <w:r>
        <w:rPr>
          <w:rFonts w:hint="default" w:ascii="宋体" w:hAnsi="宋体" w:eastAsia="宋体"/>
          <w:sz w:val="24"/>
          <w:szCs w:val="24"/>
          <w:lang w:eastAsia="zh-CN"/>
        </w:rPr>
        <w:t>药物分析与检验</w:t>
      </w:r>
      <w:r>
        <w:rPr>
          <w:rFonts w:hint="eastAsia" w:ascii="宋体" w:hAnsi="宋体" w:eastAsia="宋体"/>
          <w:sz w:val="24"/>
          <w:szCs w:val="24"/>
        </w:rPr>
        <w:t>》课程在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超星泛雅</w:t>
      </w:r>
      <w:r>
        <w:rPr>
          <w:rFonts w:hint="eastAsia" w:ascii="宋体" w:hAnsi="宋体" w:eastAsia="宋体"/>
          <w:sz w:val="24"/>
          <w:szCs w:val="24"/>
        </w:rPr>
        <w:t>平台已建成的慕课</w:t>
      </w:r>
    </w:p>
    <w:p w14:paraId="445435DC">
      <w:pPr>
        <w:numPr>
          <w:ilvl w:val="0"/>
          <w:numId w:val="0"/>
        </w:numPr>
        <w:spacing w:line="360" w:lineRule="auto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66690" cy="282892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0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96A58"/>
    <w:multiLevelType w:val="multilevel"/>
    <w:tmpl w:val="9B596A58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  <w:color w:val="auto"/>
      </w:rPr>
    </w:lvl>
    <w:lvl w:ilvl="1" w:tentative="0">
      <w:start w:val="6"/>
      <w:numFmt w:val="decimal"/>
      <w:isLgl/>
      <w:lvlText w:val="%1.%2"/>
      <w:lvlJc w:val="left"/>
      <w:pPr>
        <w:ind w:left="530" w:hanging="53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B6BC7224"/>
    <w:multiLevelType w:val="singleLevel"/>
    <w:tmpl w:val="B6BC72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11CFF"/>
    <w:rsid w:val="075354AC"/>
    <w:rsid w:val="34A11CFF"/>
    <w:rsid w:val="70270861"/>
    <w:rsid w:val="7DA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00" w:lineRule="auto"/>
      <w:outlineLvl w:val="0"/>
    </w:pPr>
    <w:rPr>
      <w:rFonts w:ascii="Times New Roman" w:hAnsi="Times New Roman" w:eastAsia="宋体" w:cs="Times New Roman"/>
      <w:b/>
      <w:kern w:val="44"/>
      <w:sz w:val="24"/>
      <w:szCs w:val="2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napToGrid w:val="0"/>
      <w:spacing w:before="100" w:beforeLines="100" w:after="50" w:afterLines="50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562" w:firstLineChars="200"/>
      <w:outlineLvl w:val="2"/>
    </w:pPr>
    <w:rPr>
      <w:rFonts w:ascii="Times New Roman" w:hAnsi="Times New Roman" w:eastAsia="宋体" w:cs="Times New Roman"/>
      <w:b/>
      <w:sz w:val="24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字符"/>
    <w:basedOn w:val="6"/>
    <w:link w:val="3"/>
    <w:qFormat/>
    <w:uiPriority w:val="0"/>
    <w:rPr>
      <w:rFonts w:ascii="Arial" w:hAnsi="Arial" w:eastAsia="宋体" w:cs="Times New Roman"/>
      <w:b/>
      <w:sz w:val="28"/>
      <w:szCs w:val="22"/>
    </w:rPr>
  </w:style>
  <w:style w:type="character" w:customStyle="1" w:styleId="8">
    <w:name w:val="标题 3 字符"/>
    <w:basedOn w:val="6"/>
    <w:link w:val="4"/>
    <w:qFormat/>
    <w:uiPriority w:val="0"/>
    <w:rPr>
      <w:rFonts w:ascii="Times New Roman" w:hAnsi="Times New Roman" w:eastAsia="宋体" w:cs="Times New Roman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2025-11-02T14:58:00Z</dcterms:created>
  <dc:creator>工作</dc:creator>
  <cp:lastModifiedBy>工作</cp:lastModifiedBy>
  <dcterms:modified xsi:type="dcterms:W3CDTF">2025-11-02T15:03:27Z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CD373848A4FA49B592D8A6B82A6FE6F6_11</vt:lpwstr>
  </property>
  <property fmtid="{D5CDD505-2E9C-101B-9397-08002B2CF9AE}" pid="4" name="KSOTemplateDocerSaveRecord">
    <vt:lpwstr>eyJoZGlkIjoiY2IzYmFiM2ViNWMyZWQzMjJhMjRlNWY2OTMyMjY4NzgiLCJ1c2VySWQiOiI4ODk0MTM0MDcifQ==</vt:lpwstr>
  </property>
</Properties>
</file>